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Объявление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532"/>
        </w:tabs>
        <w:spacing w:after="0" w:before="0" w:line="240" w:lineRule="auto"/>
        <w:ind w:right="283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Управление культуры Министерства обороны Российской Федерации, Федеральное государственное бюджетное учреждение культуры и искусства «Центральный музей Вооруженных Сил Российской Федерации» Министерства обороны Российской Федерации 15-17 ноября 2016 г. проводят международную научно-практическую конференцию «Жуковские чтения».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Основные вопросы для обсуждения в рамках конференции: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1.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сторическая роль полководцев  Маршалов Советского Союза               Г.К. Жукова и К.К. Рокоссовского: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в Московской битве (к75-летию контрнаступления Красной Армии под Москвой).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Великой Победе.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Развитии Вооруженных Сил.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-5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 Содержание музейных экспозиций посвященных Г.К. Жукову. Памятники, мемориалы, установленные в память о Г.К. Жукове.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-5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 Формы и методы работы по представлению личности Г.К. Жукова посетителям музеев.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программе конференции: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15 ноября – Пленарное заседание  в Центральном музее Вооруженных Сил Российской Федерации.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right="-5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16 ноября – Возложение цветов к месту захоронения Г.К. Жукова на Красной площади, осмотр экспозиции Мемориального кабинета-музея в Генеральном штабе, выступления участников чтений в конференц-зале Генерального штаба.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17 ноября – организованный выезд на автобусе в город Жуков Калужской области (транспортом Минобороны России). Осмотр экспозиции Государственного музея Г.К. Жукова.   Продолжение «Жуковских чтений».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Цель «Жуковских чтений»  – введение в научный оборот исследований и материалов о жизни и деятельности Маршалов Советского Союза Г. К. Жукова, К.К. Рокоссовского, обмен информацией о музейных экспозициях, посвященных Г.К. Жукову, формах и методах музейной работы.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Приглашаю Вас и сотрудников Центрального музея Великой Отечественной войны 1941-45 гг. принять участие в «Жуковских чтениях».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Для участия в «Жуковских чтениях»  необходимо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до 15 сентября 2016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представить в Оргкомитет заявку участника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ФИО (полностью).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Место работы (учебы), должность.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Ученая степень, ученое звание.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Тема доклада (сообщения).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Необходимость демонстрационной техники (указать какой).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Контакты: (телефон, факс, E-mail).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Заявку для участия в конференции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просим направлять по электронной почте: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uchotdel@yandex.ru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или факсу: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(495) 681-18-80.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Организационный комитет не оплачивает транспортные расходы к месту проведения конференции и обратно, питание и проживание в гостинице.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К открытию «Жуковских чтений»  планируется формирование сборника материалов «Жуковских чтений» на  электронном носителе, который 15 ноября будет выдан каждому участнику конференции.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Статьи для электронного сборника объемом до 15 страниц принимаются в электронном виде в текстовом редакторе Microsoft Word или RTF; шрифт Times New Roman cyr; кегль 14; междустрочный интервал 1.5  Ссылки на литературу и источники должны быть оформлены в виде сносок в конце текста статьи.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Иллюстрации к статье должны быть предоставлены в виде jpg  или tif-файлов (разрешение не менее 300 dpi, желательный размер – не менее 10х15 см при 300 dpi, 1-2 MB).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Все присылаемые иллюстрации  (до 10 штук) должны иметь порядковую нумерацию. В текст статьи иллюстрации вставлять не нужно. В тексте должны быть четкие ссылки на иллюстрацию в нужном месте (Например: «Рис. 1» и т.д.). Подписи к иллюстрациям предоставляются в виде отдельного файла.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Статьи и иллюстрации к ним предоставляются  на электронном носителе (диск и т.п.) или по электронной почте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uchotdel@yandex.ru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до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 октября   2016 г.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или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129110, г. Москва, ул. Советской Армии, д. 2, стр. 1. Центральный музей Вооруженных Сил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Ответственный секретарь Оргкомитета конференции – главный научный сотрудник музея доктор исторических наук Сабуров Леонид Давыдович – тел. (495) 681-23-33, моб. 8-903-152-06-04,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uchotdel@yandex.ru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(письма направлять с пометкой – «Конференция»).</w:t>
      </w:r>
    </w:p>
    <w:p w:rsidR="00000000" w:rsidDel="00000000" w:rsidP="00000000" w:rsidRDefault="00000000" w:rsidRPr="00000000">
      <w:pPr>
        <w:widowControl w:val="0"/>
        <w:tabs>
          <w:tab w:val="left" w:pos="9532"/>
        </w:tabs>
        <w:spacing w:after="0" w:before="0" w:line="240" w:lineRule="auto"/>
        <w:ind w:right="283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532"/>
        </w:tabs>
        <w:spacing w:after="0" w:before="0" w:line="240" w:lineRule="auto"/>
        <w:ind w:right="8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532"/>
        </w:tabs>
        <w:spacing w:after="0" w:before="0" w:line="240" w:lineRule="auto"/>
        <w:ind w:right="283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532"/>
        </w:tabs>
        <w:spacing w:after="0" w:before="0" w:line="240" w:lineRule="auto"/>
        <w:ind w:right="8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532"/>
        </w:tabs>
        <w:spacing w:after="0" w:before="0" w:line="240" w:lineRule="auto"/>
        <w:ind w:right="8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532"/>
        </w:tabs>
        <w:spacing w:after="0" w:before="0" w:line="240" w:lineRule="auto"/>
        <w:ind w:right="84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uchotdel@yandex.ru" TargetMode="External"/><Relationship Id="rId6" Type="http://schemas.openxmlformats.org/officeDocument/2006/relationships/hyperlink" Target="mailto:uchotdel@yandex.ru" TargetMode="External"/><Relationship Id="rId7" Type="http://schemas.openxmlformats.org/officeDocument/2006/relationships/hyperlink" Target="mailto:uchotdel@yandex.ru" TargetMode="External"/></Relationships>
</file>